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7C" w:rsidRDefault="00D51B7C" w:rsidP="00D51B7C">
      <w:pPr>
        <w:autoSpaceDE w:val="0"/>
        <w:autoSpaceDN w:val="0"/>
        <w:adjustRightInd w:val="0"/>
        <w:spacing w:line="360" w:lineRule="auto"/>
        <w:ind w:left="7788"/>
        <w:rPr>
          <w:rFonts w:ascii="Calibri" w:hAnsi="Calibri" w:cs="TrebuchetMS,Bold-OneByteIdentit"/>
          <w:b/>
          <w:bCs/>
          <w:sz w:val="20"/>
          <w:szCs w:val="20"/>
        </w:rPr>
      </w:pPr>
      <w:r>
        <w:rPr>
          <w:rFonts w:ascii="Calibri" w:hAnsi="Calibri" w:cs="TrebuchetMS-OneByteIdentityH"/>
          <w:b/>
          <w:sz w:val="32"/>
          <w:szCs w:val="32"/>
        </w:rPr>
        <w:t>Allegato C</w:t>
      </w:r>
    </w:p>
    <w:p w:rsidR="00D51B7C" w:rsidRPr="00D83E27" w:rsidRDefault="00D51B7C" w:rsidP="00D51B7C">
      <w:pPr>
        <w:autoSpaceDE w:val="0"/>
        <w:autoSpaceDN w:val="0"/>
        <w:adjustRightInd w:val="0"/>
        <w:spacing w:line="360" w:lineRule="auto"/>
        <w:rPr>
          <w:rFonts w:ascii="Calibri" w:hAnsi="Calibri" w:cs="TrebuchetMS,Bold-OneByteIdentit"/>
          <w:b/>
          <w:bCs/>
        </w:rPr>
      </w:pPr>
      <w:r w:rsidRPr="004D56C4">
        <w:rPr>
          <w:rFonts w:ascii="Calibri" w:hAnsi="Calibri" w:cs="TrebuchetMS,Bold-OneByteIdentit"/>
          <w:b/>
          <w:bCs/>
          <w:sz w:val="22"/>
          <w:szCs w:val="22"/>
          <w:u w:val="single"/>
        </w:rPr>
        <w:t xml:space="preserve">Dichiarazione di assenza di cause di </w:t>
      </w:r>
      <w:proofErr w:type="spellStart"/>
      <w:r w:rsidRPr="004D56C4">
        <w:rPr>
          <w:rFonts w:ascii="Calibri" w:hAnsi="Calibri" w:cs="TrebuchetMS,Bold-OneByteIdentit"/>
          <w:b/>
          <w:bCs/>
          <w:sz w:val="22"/>
          <w:szCs w:val="22"/>
          <w:u w:val="single"/>
        </w:rPr>
        <w:t>inconferibilità</w:t>
      </w:r>
      <w:proofErr w:type="spellEnd"/>
      <w:r w:rsidRPr="004D56C4">
        <w:rPr>
          <w:rFonts w:ascii="Calibri" w:hAnsi="Calibri" w:cs="TrebuchetMS,Bold-OneByteIdentit"/>
          <w:b/>
          <w:bCs/>
          <w:sz w:val="22"/>
          <w:szCs w:val="22"/>
          <w:u w:val="single"/>
        </w:rPr>
        <w:t xml:space="preserve"> ed incompatibilità</w:t>
      </w:r>
    </w:p>
    <w:p w:rsidR="00D51B7C" w:rsidRDefault="00D51B7C" w:rsidP="00D51B7C">
      <w:pPr>
        <w:autoSpaceDE w:val="0"/>
        <w:autoSpaceDN w:val="0"/>
        <w:adjustRightInd w:val="0"/>
        <w:spacing w:line="360" w:lineRule="auto"/>
        <w:jc w:val="both"/>
        <w:rPr>
          <w:rFonts w:ascii="Calibri" w:hAnsi="Calibri" w:cs="TrebuchetMS,Bold-OneByteIdentit"/>
          <w:b/>
          <w:bCs/>
          <w:sz w:val="20"/>
          <w:szCs w:val="20"/>
        </w:rPr>
      </w:pP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Bold-OneByteIdentit"/>
          <w:b/>
          <w:bCs/>
          <w:sz w:val="20"/>
          <w:szCs w:val="20"/>
        </w:rPr>
        <w:t>COMUNICAZIONE OBBLIGATORIA</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Bold-OneByteIdentit"/>
          <w:b/>
          <w:bCs/>
          <w:sz w:val="20"/>
          <w:szCs w:val="20"/>
        </w:rPr>
        <w:t xml:space="preserve">- DELL’ASSENZA DI CAUSE DI INCONFERIBILITÀ E DI INCOMPATIBILITÀ ai sensi del </w:t>
      </w:r>
      <w:proofErr w:type="spellStart"/>
      <w:proofErr w:type="gramStart"/>
      <w:r w:rsidRPr="00E12C97">
        <w:rPr>
          <w:rFonts w:ascii="Calibri" w:hAnsi="Calibri" w:cs="TrebuchetMS,Bold-OneByteIdentit"/>
          <w:b/>
          <w:bCs/>
          <w:sz w:val="20"/>
          <w:szCs w:val="20"/>
        </w:rPr>
        <w:t>D.Lgs</w:t>
      </w:r>
      <w:proofErr w:type="gramEnd"/>
      <w:r w:rsidRPr="00E12C97">
        <w:rPr>
          <w:rFonts w:ascii="Calibri" w:hAnsi="Calibri" w:cs="TrebuchetMS,Bold-OneByteIdentit"/>
          <w:b/>
          <w:bCs/>
          <w:sz w:val="20"/>
          <w:szCs w:val="20"/>
        </w:rPr>
        <w:t>.</w:t>
      </w:r>
      <w:proofErr w:type="spellEnd"/>
      <w:r w:rsidRPr="00E12C97">
        <w:rPr>
          <w:rFonts w:ascii="Calibri" w:hAnsi="Calibri" w:cs="TrebuchetMS,Bold-OneByteIdentit"/>
          <w:b/>
          <w:bCs/>
          <w:sz w:val="20"/>
          <w:szCs w:val="20"/>
        </w:rPr>
        <w:t xml:space="preserve"> n. 39/2013</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Bold-OneByteIdentit"/>
          <w:b/>
          <w:bCs/>
          <w:sz w:val="20"/>
          <w:szCs w:val="20"/>
        </w:rPr>
        <w:t>- DEGLI INTERESSI FINANZIARI E DEI CONFLITTI DI INTERESSI ai sensi degli artt. 6 e 13 del D.P.R. n. 62/2013</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Pr>
          <w:rFonts w:ascii="Calibri" w:hAnsi="Calibri" w:cs="TrebuchetMS-OneByteIdentityH"/>
          <w:sz w:val="20"/>
          <w:szCs w:val="20"/>
        </w:rPr>
        <w:t xml:space="preserve">IL/LA </w:t>
      </w:r>
      <w:r w:rsidRPr="00E12C97">
        <w:rPr>
          <w:rFonts w:ascii="Calibri" w:hAnsi="Calibri" w:cs="TrebuchetMS-OneByteIdentityH"/>
          <w:sz w:val="20"/>
          <w:szCs w:val="20"/>
        </w:rPr>
        <w:t>sottoscritt</w:t>
      </w:r>
      <w:r>
        <w:rPr>
          <w:rFonts w:ascii="Calibri" w:hAnsi="Calibri" w:cs="TrebuchetMS-OneByteIdentityH"/>
          <w:sz w:val="20"/>
          <w:szCs w:val="20"/>
        </w:rPr>
        <w:t>o/a</w:t>
      </w:r>
      <w:r w:rsidRPr="00E12C97">
        <w:rPr>
          <w:rFonts w:ascii="Calibri" w:hAnsi="Calibri" w:cs="TrebuchetMS-OneByteIdentityH"/>
          <w:sz w:val="20"/>
          <w:szCs w:val="20"/>
        </w:rPr>
        <w:t xml:space="preserve">_ ________________________________ </w:t>
      </w:r>
      <w:proofErr w:type="spellStart"/>
      <w:r w:rsidRPr="00E12C97">
        <w:rPr>
          <w:rFonts w:ascii="Calibri" w:hAnsi="Calibri" w:cs="TrebuchetMS-OneByteIdentityH"/>
          <w:sz w:val="20"/>
          <w:szCs w:val="20"/>
        </w:rPr>
        <w:t>nat</w:t>
      </w:r>
      <w:proofErr w:type="spellEnd"/>
      <w:r w:rsidRPr="00E12C97">
        <w:rPr>
          <w:rFonts w:ascii="Calibri" w:hAnsi="Calibri" w:cs="TrebuchetMS-OneByteIdentityH"/>
          <w:sz w:val="20"/>
          <w:szCs w:val="20"/>
        </w:rPr>
        <w:t>__ il _______ a ________________________</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Bold-OneByteIdentit"/>
          <w:b/>
          <w:bCs/>
          <w:sz w:val="20"/>
          <w:szCs w:val="20"/>
        </w:rPr>
        <w:t>CONSAPEVOLE</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OneByteIdentityH"/>
          <w:sz w:val="20"/>
          <w:szCs w:val="20"/>
        </w:rPr>
        <w:t xml:space="preserve">delle sanzioni previste dall’art. 76 del D.P.R. n. 445/2000 e </w:t>
      </w:r>
      <w:proofErr w:type="spellStart"/>
      <w:r w:rsidRPr="00E12C97">
        <w:rPr>
          <w:rFonts w:ascii="Calibri" w:hAnsi="Calibri" w:cs="TrebuchetMS-OneByteIdentityH"/>
          <w:sz w:val="20"/>
          <w:szCs w:val="20"/>
        </w:rPr>
        <w:t>s.m.i.</w:t>
      </w:r>
      <w:proofErr w:type="spellEnd"/>
      <w:r w:rsidRPr="00E12C97">
        <w:rPr>
          <w:rFonts w:ascii="Calibri" w:hAnsi="Calibri" w:cs="TrebuchetMS-OneByteIdentityH"/>
          <w:sz w:val="20"/>
          <w:szCs w:val="20"/>
        </w:rPr>
        <w:t xml:space="preserve"> per le ipotesi di falsità in atti e dichiarazioni mendaci nonché delle conseguenze di cui all’art. 75 - comma 1 - del medesimo D.P.R., sotto la mia personale responsabilità ai fini di quanto previsto dal </w:t>
      </w:r>
      <w:proofErr w:type="spellStart"/>
      <w:proofErr w:type="gramStart"/>
      <w:r w:rsidRPr="00E12C97">
        <w:rPr>
          <w:rFonts w:ascii="Calibri" w:hAnsi="Calibri" w:cs="TrebuchetMS-OneByteIdentityH"/>
          <w:sz w:val="20"/>
          <w:szCs w:val="20"/>
        </w:rPr>
        <w:t>D.Lgs</w:t>
      </w:r>
      <w:proofErr w:type="gramEnd"/>
      <w:r w:rsidRPr="00E12C97">
        <w:rPr>
          <w:rFonts w:ascii="Calibri" w:hAnsi="Calibri" w:cs="TrebuchetMS-OneByteIdentityH"/>
          <w:sz w:val="20"/>
          <w:szCs w:val="20"/>
        </w:rPr>
        <w:t>.</w:t>
      </w:r>
      <w:proofErr w:type="spellEnd"/>
      <w:r w:rsidRPr="00E12C97">
        <w:rPr>
          <w:rFonts w:ascii="Calibri" w:hAnsi="Calibri" w:cs="TrebuchetMS-OneByteIdentityH"/>
          <w:sz w:val="20"/>
          <w:szCs w:val="20"/>
        </w:rPr>
        <w:t xml:space="preserve"> n 39/2013, </w:t>
      </w:r>
      <w:r w:rsidRPr="00E12C97">
        <w:rPr>
          <w:rFonts w:ascii="Calibri" w:hAnsi="Calibri" w:cs="TrebuchetMS,Bold-OneByteIdentit"/>
          <w:b/>
          <w:bCs/>
          <w:sz w:val="20"/>
          <w:szCs w:val="20"/>
        </w:rPr>
        <w:t xml:space="preserve">consapevole anche della nullità degli incarichi conferiti in violazione delle </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Bold-OneByteIdentit"/>
          <w:b/>
          <w:bCs/>
          <w:sz w:val="20"/>
          <w:szCs w:val="20"/>
        </w:rPr>
        <w:t xml:space="preserve">disposizioni del </w:t>
      </w:r>
      <w:proofErr w:type="spellStart"/>
      <w:proofErr w:type="gramStart"/>
      <w:r w:rsidRPr="00E12C97">
        <w:rPr>
          <w:rFonts w:ascii="Calibri" w:hAnsi="Calibri" w:cs="TrebuchetMS,Bold-OneByteIdentit"/>
          <w:b/>
          <w:bCs/>
          <w:sz w:val="20"/>
          <w:szCs w:val="20"/>
        </w:rPr>
        <w:t>D.Lgs</w:t>
      </w:r>
      <w:proofErr w:type="gramEnd"/>
      <w:r w:rsidRPr="00E12C97">
        <w:rPr>
          <w:rFonts w:ascii="Calibri" w:hAnsi="Calibri" w:cs="TrebuchetMS,Bold-OneByteIdentit"/>
          <w:b/>
          <w:bCs/>
          <w:sz w:val="20"/>
          <w:szCs w:val="20"/>
        </w:rPr>
        <w:t>.</w:t>
      </w:r>
      <w:proofErr w:type="spellEnd"/>
      <w:r w:rsidRPr="00E12C97">
        <w:rPr>
          <w:rFonts w:ascii="Calibri" w:hAnsi="Calibri" w:cs="TrebuchetMS,Bold-OneByteIdentit"/>
          <w:b/>
          <w:bCs/>
          <w:sz w:val="20"/>
          <w:szCs w:val="20"/>
        </w:rPr>
        <w:t xml:space="preserve"> n. 39/2013</w:t>
      </w:r>
      <w:r w:rsidRPr="00E12C97">
        <w:rPr>
          <w:rFonts w:ascii="Calibri" w:hAnsi="Calibri" w:cs="TrebuchetMS-OneByteIdentityH"/>
          <w:sz w:val="20"/>
          <w:szCs w:val="20"/>
        </w:rPr>
        <w:t>, e di quanto previsto dagli artt. 6 e 13 del D.P.R. 62/2013,</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Pr>
          <w:rFonts w:ascii="Calibri" w:hAnsi="Calibri" w:cs="TrebuchetMS,Bold-OneByteIdentit"/>
          <w:b/>
          <w:bCs/>
          <w:sz w:val="20"/>
          <w:szCs w:val="20"/>
        </w:rPr>
        <w:t>DICHIARA</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Bold-OneByteIdentit"/>
          <w:b/>
          <w:bCs/>
          <w:sz w:val="20"/>
          <w:szCs w:val="20"/>
        </w:rPr>
        <w:t xml:space="preserve">l’assenza di cause di </w:t>
      </w:r>
      <w:proofErr w:type="spellStart"/>
      <w:r w:rsidRPr="00E12C97">
        <w:rPr>
          <w:rFonts w:ascii="Calibri" w:hAnsi="Calibri" w:cs="TrebuchetMS,Bold-OneByteIdentit"/>
          <w:b/>
          <w:bCs/>
          <w:sz w:val="20"/>
          <w:szCs w:val="20"/>
        </w:rPr>
        <w:t>inconferibilità</w:t>
      </w:r>
      <w:proofErr w:type="spellEnd"/>
      <w:r w:rsidRPr="00E12C97">
        <w:rPr>
          <w:rFonts w:ascii="Calibri" w:hAnsi="Calibri" w:cs="TrebuchetMS,Bold-OneByteIdentit"/>
          <w:b/>
          <w:bCs/>
          <w:sz w:val="20"/>
          <w:szCs w:val="20"/>
        </w:rPr>
        <w:t xml:space="preserve"> e di incompatibilità previste dal </w:t>
      </w:r>
      <w:proofErr w:type="spellStart"/>
      <w:proofErr w:type="gramStart"/>
      <w:r w:rsidRPr="00E12C97">
        <w:rPr>
          <w:rFonts w:ascii="Calibri" w:hAnsi="Calibri" w:cs="TrebuchetMS,Bold-OneByteIdentit"/>
          <w:b/>
          <w:bCs/>
          <w:sz w:val="20"/>
          <w:szCs w:val="20"/>
        </w:rPr>
        <w:t>D.Lgs</w:t>
      </w:r>
      <w:proofErr w:type="gramEnd"/>
      <w:r w:rsidRPr="00E12C97">
        <w:rPr>
          <w:rFonts w:ascii="Calibri" w:hAnsi="Calibri" w:cs="TrebuchetMS,Bold-OneByteIdentit"/>
          <w:b/>
          <w:bCs/>
          <w:sz w:val="20"/>
          <w:szCs w:val="20"/>
        </w:rPr>
        <w:t>.</w:t>
      </w:r>
      <w:proofErr w:type="spellEnd"/>
      <w:r w:rsidRPr="00E12C97">
        <w:rPr>
          <w:rFonts w:ascii="Calibri" w:hAnsi="Calibri" w:cs="TrebuchetMS,Bold-OneByteIdentit"/>
          <w:b/>
          <w:bCs/>
          <w:sz w:val="20"/>
          <w:szCs w:val="20"/>
        </w:rPr>
        <w:t xml:space="preserve"> n. 39/2013.</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Bold-OneByteIdentit"/>
          <w:b/>
          <w:bCs/>
          <w:sz w:val="20"/>
          <w:szCs w:val="20"/>
        </w:rPr>
        <w:t xml:space="preserve">A. Cause di </w:t>
      </w:r>
      <w:proofErr w:type="spellStart"/>
      <w:r w:rsidRPr="00E12C97">
        <w:rPr>
          <w:rFonts w:ascii="Calibri" w:hAnsi="Calibri" w:cs="TrebuchetMS,Bold-OneByteIdentit"/>
          <w:b/>
          <w:bCs/>
          <w:sz w:val="20"/>
          <w:szCs w:val="20"/>
        </w:rPr>
        <w:t>inconferibilità</w:t>
      </w:r>
      <w:proofErr w:type="spellEnd"/>
    </w:p>
    <w:p w:rsidR="00D51B7C" w:rsidRPr="00E12C97" w:rsidRDefault="00D51B7C" w:rsidP="00D51B7C">
      <w:pPr>
        <w:pStyle w:val="Paragrafoelenco1"/>
        <w:numPr>
          <w:ilvl w:val="0"/>
          <w:numId w:val="1"/>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 xml:space="preserve">di </w:t>
      </w:r>
      <w:r w:rsidRPr="00E12C97">
        <w:rPr>
          <w:rFonts w:cs="TrebuchetMS,Bold-OneByteIdentit"/>
          <w:b/>
          <w:bCs/>
          <w:sz w:val="20"/>
          <w:szCs w:val="20"/>
        </w:rPr>
        <w:t xml:space="preserve">non </w:t>
      </w:r>
      <w:r w:rsidRPr="00E12C97">
        <w:rPr>
          <w:rFonts w:cs="TrebuchetMS-OneByteIdentityH"/>
          <w:sz w:val="20"/>
          <w:szCs w:val="20"/>
        </w:rPr>
        <w:t xml:space="preserve">essere stato/a condannato/a, anche con sentenza non passata in giudicato, per i reati previsti nel capo I del titolo II del libro secondo del codice penale, riepilogati nella </w:t>
      </w:r>
      <w:r w:rsidRPr="00E12C97">
        <w:rPr>
          <w:rFonts w:cs="TrebuchetMS,BoldItalic-OneByteI"/>
          <w:b/>
          <w:bCs/>
          <w:i/>
          <w:iCs/>
          <w:sz w:val="20"/>
          <w:szCs w:val="20"/>
        </w:rPr>
        <w:t xml:space="preserve">nota 1 </w:t>
      </w:r>
      <w:r w:rsidRPr="00E12C97">
        <w:rPr>
          <w:rFonts w:cs="TrebuchetMS-OneByteIdentityH"/>
          <w:sz w:val="20"/>
          <w:szCs w:val="20"/>
        </w:rPr>
        <w:t xml:space="preserve">(art. 3, comma 1 lettera c), del </w:t>
      </w:r>
      <w:proofErr w:type="spellStart"/>
      <w:proofErr w:type="gramStart"/>
      <w:r w:rsidRPr="00E12C97">
        <w:rPr>
          <w:rFonts w:cs="TrebuchetMS-OneByteIdentityH"/>
          <w:sz w:val="20"/>
          <w:szCs w:val="20"/>
        </w:rPr>
        <w:t>D.Lgs</w:t>
      </w:r>
      <w:proofErr w:type="gramEnd"/>
      <w:r w:rsidRPr="00E12C97">
        <w:rPr>
          <w:rFonts w:cs="TrebuchetMS-OneByteIdentityH"/>
          <w:sz w:val="20"/>
          <w:szCs w:val="20"/>
        </w:rPr>
        <w:t>.</w:t>
      </w:r>
      <w:proofErr w:type="spellEnd"/>
      <w:r w:rsidRPr="00E12C97">
        <w:rPr>
          <w:rFonts w:cs="TrebuchetMS-OneByteIdentityH"/>
          <w:sz w:val="20"/>
          <w:szCs w:val="20"/>
        </w:rPr>
        <w:t xml:space="preserve"> n 39/2013);</w:t>
      </w:r>
    </w:p>
    <w:p w:rsidR="00D51B7C" w:rsidRPr="00E12C97" w:rsidRDefault="00D51B7C" w:rsidP="00D51B7C">
      <w:pPr>
        <w:pStyle w:val="Paragrafoelenco1"/>
        <w:numPr>
          <w:ilvl w:val="0"/>
          <w:numId w:val="1"/>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 xml:space="preserve">di essere stato/a condannato/a, anche con sentenza non passata in giudicato, per i reati previsti nel capo I del titolo II del libro secondo del codice penale, riepilogati nella </w:t>
      </w:r>
      <w:r w:rsidRPr="00E12C97">
        <w:rPr>
          <w:rFonts w:cs="TrebuchetMS,BoldItalic-OneByteI"/>
          <w:b/>
          <w:bCs/>
          <w:i/>
          <w:iCs/>
          <w:sz w:val="20"/>
          <w:szCs w:val="20"/>
        </w:rPr>
        <w:t xml:space="preserve">nota 1 </w:t>
      </w:r>
      <w:r w:rsidRPr="00E12C97">
        <w:rPr>
          <w:rFonts w:cs="TrebuchetMS-OneByteIdentityH"/>
          <w:sz w:val="20"/>
          <w:szCs w:val="20"/>
        </w:rPr>
        <w:t xml:space="preserve">(art. 3, comma 1 lettera c), del </w:t>
      </w:r>
      <w:proofErr w:type="spellStart"/>
      <w:proofErr w:type="gramStart"/>
      <w:r w:rsidRPr="00E12C97">
        <w:rPr>
          <w:rFonts w:cs="TrebuchetMS-OneByteIdentityH"/>
          <w:sz w:val="20"/>
          <w:szCs w:val="20"/>
        </w:rPr>
        <w:t>D.Lgs</w:t>
      </w:r>
      <w:proofErr w:type="gramEnd"/>
      <w:r w:rsidRPr="00E12C97">
        <w:rPr>
          <w:rFonts w:cs="TrebuchetMS-OneByteIdentityH"/>
          <w:sz w:val="20"/>
          <w:szCs w:val="20"/>
        </w:rPr>
        <w:t>.</w:t>
      </w:r>
      <w:proofErr w:type="spellEnd"/>
      <w:r w:rsidRPr="00E12C97">
        <w:rPr>
          <w:rFonts w:cs="TrebuchetMS-OneByteIdentityH"/>
          <w:sz w:val="20"/>
          <w:szCs w:val="20"/>
        </w:rPr>
        <w:t xml:space="preserve"> n 39/2013)</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sidRPr="00E12C97">
        <w:rPr>
          <w:rFonts w:ascii="Calibri" w:hAnsi="Calibri" w:cs="TrebuchetMS,Bold-OneByteIdentit"/>
          <w:b/>
          <w:bCs/>
          <w:sz w:val="20"/>
          <w:szCs w:val="20"/>
        </w:rPr>
        <w:t>B. Cause di incompatibilità</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di essere consapevole che l’incarico da attribuire è incompatibile con le situazioni previste:</w:t>
      </w:r>
    </w:p>
    <w:p w:rsidR="00D51B7C" w:rsidRPr="00E12C97" w:rsidRDefault="00D51B7C" w:rsidP="00D51B7C">
      <w:pPr>
        <w:pStyle w:val="Paragrafoelenco1"/>
        <w:numPr>
          <w:ilvl w:val="0"/>
          <w:numId w:val="2"/>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 xml:space="preserve">dall’art. 9, commi 1 e 2 del D. </w:t>
      </w:r>
      <w:proofErr w:type="spellStart"/>
      <w:r w:rsidRPr="00E12C97">
        <w:rPr>
          <w:rFonts w:cs="TrebuchetMS-OneByteIdentityH"/>
          <w:sz w:val="20"/>
          <w:szCs w:val="20"/>
        </w:rPr>
        <w:t>Lgs</w:t>
      </w:r>
      <w:proofErr w:type="spellEnd"/>
      <w:r w:rsidRPr="00E12C97">
        <w:rPr>
          <w:rFonts w:cs="TrebuchetMS-OneByteIdentityH"/>
          <w:sz w:val="20"/>
          <w:szCs w:val="20"/>
        </w:rPr>
        <w:t>. n. 39/2013,</w:t>
      </w:r>
    </w:p>
    <w:p w:rsidR="00D51B7C" w:rsidRPr="00E12C97" w:rsidRDefault="00D51B7C" w:rsidP="00D51B7C">
      <w:pPr>
        <w:pStyle w:val="Paragrafoelenco1"/>
        <w:numPr>
          <w:ilvl w:val="0"/>
          <w:numId w:val="2"/>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 xml:space="preserve">dall’art. 12, commi 1, 2, 3 e 4 del </w:t>
      </w:r>
      <w:proofErr w:type="spellStart"/>
      <w:proofErr w:type="gramStart"/>
      <w:r w:rsidRPr="00E12C97">
        <w:rPr>
          <w:rFonts w:cs="TrebuchetMS-OneByteIdentityH"/>
          <w:sz w:val="20"/>
          <w:szCs w:val="20"/>
        </w:rPr>
        <w:t>D.Lgs</w:t>
      </w:r>
      <w:proofErr w:type="gramEnd"/>
      <w:r w:rsidRPr="00E12C97">
        <w:rPr>
          <w:rFonts w:cs="TrebuchetMS-OneByteIdentityH"/>
          <w:sz w:val="20"/>
          <w:szCs w:val="20"/>
        </w:rPr>
        <w:t>.</w:t>
      </w:r>
      <w:proofErr w:type="spellEnd"/>
      <w:r w:rsidRPr="00E12C97">
        <w:rPr>
          <w:rFonts w:cs="TrebuchetMS-OneByteIdentityH"/>
          <w:sz w:val="20"/>
          <w:szCs w:val="20"/>
        </w:rPr>
        <w:t xml:space="preserve"> n. 39/2013,</w:t>
      </w:r>
    </w:p>
    <w:p w:rsidR="00D51B7C" w:rsidRPr="00E12C97" w:rsidRDefault="00D51B7C" w:rsidP="00D51B7C">
      <w:pPr>
        <w:autoSpaceDE w:val="0"/>
        <w:autoSpaceDN w:val="0"/>
        <w:adjustRightInd w:val="0"/>
        <w:spacing w:line="360" w:lineRule="auto"/>
        <w:jc w:val="both"/>
        <w:rPr>
          <w:rFonts w:ascii="Calibri" w:hAnsi="Calibri" w:cs="TrebuchetMS,BoldItalic-OneByteI"/>
          <w:b/>
          <w:bCs/>
          <w:i/>
          <w:iCs/>
          <w:sz w:val="20"/>
          <w:szCs w:val="20"/>
        </w:rPr>
      </w:pPr>
      <w:r w:rsidRPr="00E12C97">
        <w:rPr>
          <w:rFonts w:ascii="Calibri" w:hAnsi="Calibri" w:cs="TrebuchetMS-OneByteIdentityH"/>
          <w:sz w:val="20"/>
          <w:szCs w:val="20"/>
        </w:rPr>
        <w:t xml:space="preserve">riepilogati nella </w:t>
      </w:r>
      <w:r w:rsidRPr="00E12C97">
        <w:rPr>
          <w:rFonts w:ascii="Calibri" w:hAnsi="Calibri" w:cs="TrebuchetMS,BoldItalic-OneByteI"/>
          <w:b/>
          <w:bCs/>
          <w:i/>
          <w:iCs/>
          <w:sz w:val="20"/>
          <w:szCs w:val="20"/>
        </w:rPr>
        <w:t>nota 2.</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Data__________________ Il/</w:t>
      </w:r>
      <w:smartTag w:uri="urn:schemas-microsoft-com:office:smarttags" w:element="PersonName">
        <w:smartTagPr>
          <w:attr w:name="ProductID" w:val="La Dichiarante"/>
        </w:smartTagPr>
        <w:r w:rsidRPr="00E12C97">
          <w:rPr>
            <w:rFonts w:ascii="Calibri" w:hAnsi="Calibri" w:cs="TrebuchetMS-OneByteIdentityH"/>
            <w:sz w:val="20"/>
            <w:szCs w:val="20"/>
          </w:rPr>
          <w:t>La Dichiarante</w:t>
        </w:r>
      </w:smartTag>
      <w:r w:rsidRPr="00E12C97">
        <w:rPr>
          <w:rFonts w:ascii="Calibri" w:hAnsi="Calibri" w:cs="TrebuchetMS-OneByteIdentityH"/>
          <w:sz w:val="20"/>
          <w:szCs w:val="20"/>
        </w:rPr>
        <w:t>___________________________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Il sottoscritto è consapevole che la dichiarazione di cui sopra sarà pubblicata nel sito web dell’</w:t>
      </w:r>
      <w:r>
        <w:rPr>
          <w:rFonts w:ascii="Calibri" w:hAnsi="Calibri" w:cs="TrebuchetMS-OneByteIdentityH"/>
          <w:sz w:val="20"/>
          <w:szCs w:val="20"/>
        </w:rPr>
        <w:t>Azienda</w:t>
      </w:r>
      <w:r w:rsidRPr="00E12C97">
        <w:rPr>
          <w:rFonts w:ascii="Calibri" w:hAnsi="Calibri" w:cs="TrebuchetMS-OneByteIdentityH"/>
          <w:sz w:val="20"/>
          <w:szCs w:val="20"/>
        </w:rPr>
        <w:t xml:space="preserve"> all’atto del conferimento dell’incarico dirigenziale, e dovrà essere ripetuta all’inizio di ogni anno per tutto il periodo di vigenza dell’incarico medesimo, fermo restando l’obbligo di comunicare tempestivamente l’insorgere di eventuali cause di </w:t>
      </w:r>
      <w:proofErr w:type="spellStart"/>
      <w:r w:rsidRPr="00E12C97">
        <w:rPr>
          <w:rFonts w:ascii="Calibri" w:hAnsi="Calibri" w:cs="TrebuchetMS-OneByteIdentityH"/>
          <w:sz w:val="20"/>
          <w:szCs w:val="20"/>
        </w:rPr>
        <w:t>inconferibilità</w:t>
      </w:r>
      <w:proofErr w:type="spellEnd"/>
      <w:r w:rsidRPr="00E12C97">
        <w:rPr>
          <w:rFonts w:ascii="Calibri" w:hAnsi="Calibri" w:cs="TrebuchetMS-OneByteIdentityH"/>
          <w:sz w:val="20"/>
          <w:szCs w:val="20"/>
        </w:rPr>
        <w:t xml:space="preserve"> e incompatibilità.</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p>
    <w:p w:rsidR="00D51B7C" w:rsidRDefault="00D51B7C" w:rsidP="00D51B7C">
      <w:pPr>
        <w:autoSpaceDE w:val="0"/>
        <w:autoSpaceDN w:val="0"/>
        <w:adjustRightInd w:val="0"/>
        <w:spacing w:line="360" w:lineRule="auto"/>
        <w:jc w:val="both"/>
        <w:rPr>
          <w:rFonts w:ascii="Calibri" w:hAnsi="Calibri" w:cs="TrebuchetMS,Bold-OneByteIdentit"/>
          <w:b/>
          <w:bCs/>
          <w:sz w:val="20"/>
          <w:szCs w:val="20"/>
        </w:rPr>
      </w:pPr>
    </w:p>
    <w:p w:rsidR="00D51B7C" w:rsidRPr="00E12C97" w:rsidRDefault="00D51B7C" w:rsidP="00D51B7C">
      <w:pPr>
        <w:autoSpaceDE w:val="0"/>
        <w:autoSpaceDN w:val="0"/>
        <w:adjustRightInd w:val="0"/>
        <w:spacing w:line="360" w:lineRule="auto"/>
        <w:jc w:val="both"/>
        <w:rPr>
          <w:rFonts w:ascii="Calibri" w:hAnsi="Calibri" w:cs="TrebuchetMS,Bold-OneByteIdentit"/>
          <w:b/>
          <w:bCs/>
          <w:sz w:val="20"/>
          <w:szCs w:val="20"/>
        </w:rPr>
      </w:pPr>
      <w:r>
        <w:rPr>
          <w:rFonts w:ascii="Calibri" w:hAnsi="Calibri" w:cs="TrebuchetMS,Bold-OneByteIdentit"/>
          <w:b/>
          <w:bCs/>
          <w:sz w:val="20"/>
          <w:szCs w:val="20"/>
        </w:rPr>
        <w:t>DICHIAR</w:t>
      </w:r>
      <w:r w:rsidRPr="00E12C97">
        <w:rPr>
          <w:rFonts w:ascii="Calibri" w:hAnsi="Calibri" w:cs="TrebuchetMS,Bold-OneByteIdentit"/>
          <w:b/>
          <w:bCs/>
          <w:sz w:val="20"/>
          <w:szCs w:val="20"/>
        </w:rPr>
        <w:t>O, ALTRESI’</w:t>
      </w:r>
    </w:p>
    <w:p w:rsidR="00D51B7C" w:rsidRPr="00E12C97" w:rsidRDefault="00D51B7C" w:rsidP="00D51B7C">
      <w:pPr>
        <w:pStyle w:val="Paragrafoelenco1"/>
        <w:numPr>
          <w:ilvl w:val="0"/>
          <w:numId w:val="5"/>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di non avere avuto negli ultimi tre anni rapporti di collaborazione retribuiti con soggetti privati (art. 6 D.P.R n. 62/2013);</w:t>
      </w:r>
    </w:p>
    <w:p w:rsidR="00D51B7C" w:rsidRPr="00E12C97" w:rsidRDefault="00D51B7C" w:rsidP="00D51B7C">
      <w:pPr>
        <w:pStyle w:val="Paragrafoelenco1"/>
        <w:numPr>
          <w:ilvl w:val="0"/>
          <w:numId w:val="5"/>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di avere avuto negli ultimi tre anni rapporti di collaborazione retribuiti con i seguenti soggetti privati (art. 6 D.P.R. n. 62/2913):</w:t>
      </w:r>
    </w:p>
    <w:p w:rsidR="00D51B7C" w:rsidRPr="00E12C97" w:rsidRDefault="00D51B7C" w:rsidP="00D51B7C">
      <w:pPr>
        <w:autoSpaceDE w:val="0"/>
        <w:autoSpaceDN w:val="0"/>
        <w:adjustRightInd w:val="0"/>
        <w:spacing w:line="360" w:lineRule="auto"/>
        <w:ind w:left="720"/>
        <w:jc w:val="both"/>
        <w:rPr>
          <w:rFonts w:ascii="Calibri" w:hAnsi="Calibri" w:cs="TrebuchetMS-OneByteIdentityH"/>
          <w:sz w:val="20"/>
          <w:szCs w:val="20"/>
        </w:rPr>
      </w:pPr>
      <w:r w:rsidRPr="00E12C97">
        <w:rPr>
          <w:rFonts w:ascii="Calibri" w:hAnsi="Calibri" w:cs="TrebuchetMS-OneByteIdentityH"/>
          <w:sz w:val="20"/>
          <w:szCs w:val="20"/>
        </w:rPr>
        <w:t>1_____________________________________________________________________</w:t>
      </w:r>
    </w:p>
    <w:p w:rsidR="00D51B7C" w:rsidRPr="00E12C97" w:rsidRDefault="00D51B7C" w:rsidP="00D51B7C">
      <w:pPr>
        <w:autoSpaceDE w:val="0"/>
        <w:autoSpaceDN w:val="0"/>
        <w:adjustRightInd w:val="0"/>
        <w:spacing w:line="360" w:lineRule="auto"/>
        <w:ind w:left="720"/>
        <w:jc w:val="both"/>
        <w:rPr>
          <w:rFonts w:ascii="Calibri" w:hAnsi="Calibri" w:cs="TrebuchetMS-OneByteIdentityH"/>
          <w:sz w:val="20"/>
          <w:szCs w:val="20"/>
        </w:rPr>
      </w:pPr>
      <w:r w:rsidRPr="00E12C97">
        <w:rPr>
          <w:rFonts w:ascii="Calibri" w:hAnsi="Calibri" w:cs="TrebuchetMS-OneByteIdentityH"/>
          <w:sz w:val="20"/>
          <w:szCs w:val="20"/>
        </w:rPr>
        <w:t>2_____________________________________________________________________</w:t>
      </w:r>
    </w:p>
    <w:p w:rsidR="00D51B7C" w:rsidRPr="00E12C97" w:rsidRDefault="00D51B7C" w:rsidP="00D51B7C">
      <w:pPr>
        <w:autoSpaceDE w:val="0"/>
        <w:autoSpaceDN w:val="0"/>
        <w:adjustRightInd w:val="0"/>
        <w:spacing w:line="360" w:lineRule="auto"/>
        <w:ind w:left="720"/>
        <w:jc w:val="both"/>
        <w:rPr>
          <w:rFonts w:ascii="Calibri" w:hAnsi="Calibri" w:cs="TrebuchetMS-OneByteIdentityH"/>
          <w:sz w:val="20"/>
          <w:szCs w:val="20"/>
        </w:rPr>
      </w:pPr>
      <w:r w:rsidRPr="00E12C97">
        <w:rPr>
          <w:rFonts w:ascii="Calibri" w:hAnsi="Calibri" w:cs="TrebuchetMS-OneByteIdentityH"/>
          <w:sz w:val="20"/>
          <w:szCs w:val="20"/>
        </w:rPr>
        <w:t>3_____________________________________________________________________</w:t>
      </w:r>
    </w:p>
    <w:p w:rsidR="00D51B7C" w:rsidRPr="00E12C97" w:rsidRDefault="00D51B7C" w:rsidP="00D51B7C">
      <w:pPr>
        <w:autoSpaceDE w:val="0"/>
        <w:autoSpaceDN w:val="0"/>
        <w:adjustRightInd w:val="0"/>
        <w:spacing w:line="360" w:lineRule="auto"/>
        <w:ind w:left="720"/>
        <w:jc w:val="both"/>
        <w:rPr>
          <w:rFonts w:ascii="Calibri" w:hAnsi="Calibri" w:cs="TrebuchetMS-OneByteIdentityH"/>
          <w:sz w:val="20"/>
          <w:szCs w:val="20"/>
        </w:rPr>
      </w:pPr>
      <w:r w:rsidRPr="00E12C97">
        <w:rPr>
          <w:rFonts w:ascii="Calibri" w:hAnsi="Calibri" w:cs="TrebuchetMS-OneByteIdentityH"/>
          <w:sz w:val="20"/>
          <w:szCs w:val="20"/>
        </w:rPr>
        <w:t>4_____________________________________________________________________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p>
    <w:p w:rsidR="00D51B7C" w:rsidRPr="00E12C97" w:rsidRDefault="00D51B7C" w:rsidP="00D51B7C">
      <w:pPr>
        <w:autoSpaceDE w:val="0"/>
        <w:autoSpaceDN w:val="0"/>
        <w:adjustRightInd w:val="0"/>
        <w:spacing w:line="360" w:lineRule="auto"/>
        <w:ind w:left="708"/>
        <w:jc w:val="both"/>
        <w:rPr>
          <w:rFonts w:ascii="Calibri" w:hAnsi="Calibri" w:cs="TrebuchetMS-OneByteIdentityH"/>
          <w:sz w:val="20"/>
          <w:szCs w:val="20"/>
        </w:rPr>
      </w:pPr>
      <w:r w:rsidRPr="00E12C97">
        <w:rPr>
          <w:rFonts w:ascii="Calibri" w:hAnsi="Calibri" w:cs="TrebuchetMS-OneByteIdentityH"/>
          <w:sz w:val="20"/>
          <w:szCs w:val="20"/>
        </w:rPr>
        <w:t>e che, in quest’ultimo caso (art. 6 D.P.R. n. 62/2013):</w:t>
      </w:r>
    </w:p>
    <w:p w:rsidR="00D51B7C" w:rsidRPr="00E12C97" w:rsidRDefault="00D51B7C" w:rsidP="00D51B7C">
      <w:pPr>
        <w:pStyle w:val="Paragrafoelenco1"/>
        <w:numPr>
          <w:ilvl w:val="0"/>
          <w:numId w:val="4"/>
        </w:numPr>
        <w:autoSpaceDE w:val="0"/>
        <w:autoSpaceDN w:val="0"/>
        <w:adjustRightInd w:val="0"/>
        <w:spacing w:after="0" w:line="360" w:lineRule="auto"/>
        <w:ind w:left="1428"/>
        <w:jc w:val="both"/>
        <w:rPr>
          <w:rFonts w:cs="TrebuchetMS-OneByteIdentityH"/>
          <w:sz w:val="20"/>
          <w:szCs w:val="20"/>
        </w:rPr>
      </w:pPr>
      <w:r w:rsidRPr="00E12C97">
        <w:rPr>
          <w:rFonts w:cs="TrebuchetMS-OneByteIdentityH"/>
          <w:sz w:val="20"/>
          <w:szCs w:val="20"/>
        </w:rPr>
        <w:t>né il/la sottoscritto/a né un parente né un affine entro il secondo grado né il proprio coniuge o il convivente ha tuttora - per quanto a conoscenza del sottoscritto - rapporti finanziari con uno o più dei soggetti privati sopra indicati;</w:t>
      </w:r>
    </w:p>
    <w:p w:rsidR="00D51B7C" w:rsidRPr="00E12C97" w:rsidRDefault="00D51B7C" w:rsidP="00D51B7C">
      <w:pPr>
        <w:pStyle w:val="Paragrafoelenco1"/>
        <w:numPr>
          <w:ilvl w:val="0"/>
          <w:numId w:val="4"/>
        </w:numPr>
        <w:autoSpaceDE w:val="0"/>
        <w:autoSpaceDN w:val="0"/>
        <w:adjustRightInd w:val="0"/>
        <w:spacing w:after="0" w:line="360" w:lineRule="auto"/>
        <w:ind w:left="1428"/>
        <w:jc w:val="both"/>
        <w:rPr>
          <w:rFonts w:cs="TrebuchetMS-OneByteIdentityH"/>
          <w:sz w:val="20"/>
          <w:szCs w:val="20"/>
        </w:rPr>
      </w:pPr>
      <w:r w:rsidRPr="00E12C97">
        <w:rPr>
          <w:rFonts w:cs="TrebuchetMS-OneByteIdentityH"/>
          <w:sz w:val="20"/>
          <w:szCs w:val="20"/>
        </w:rPr>
        <w:t>il/la sottoscritto/a (o un parente o un affine entro il secondo grado o il proprio coniuge o il convivente) (specificare: ___________________________________________________________)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Pr>
          <w:rFonts w:ascii="Calibri" w:hAnsi="Calibri" w:cs="TrebuchetMS-OneByteIdentityH"/>
          <w:sz w:val="20"/>
          <w:szCs w:val="20"/>
        </w:rPr>
        <w:t xml:space="preserve">  </w:t>
      </w:r>
      <w:r w:rsidRPr="00E12C97">
        <w:rPr>
          <w:rFonts w:ascii="Calibri" w:hAnsi="Calibri" w:cs="TrebuchetMS-OneByteIdentityH"/>
          <w:sz w:val="20"/>
          <w:szCs w:val="20"/>
        </w:rPr>
        <w:t>ha tutt’ora rapporti con uno o più soggetti privati sopra indicati e precisamente con:</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1_____________________________________________________________________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2_____________________________________________________________________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3_____________________________________________________________________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4_____________________________________________________________________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che i soggetti privati sopra menzionati, per quanto a conoscenza del/la sottoscritto/a:</w:t>
      </w:r>
    </w:p>
    <w:p w:rsidR="00D51B7C" w:rsidRPr="00E12C97" w:rsidRDefault="00D51B7C" w:rsidP="00D51B7C">
      <w:pPr>
        <w:pStyle w:val="Paragrafoelenco1"/>
        <w:numPr>
          <w:ilvl w:val="0"/>
          <w:numId w:val="3"/>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hanno</w:t>
      </w:r>
    </w:p>
    <w:p w:rsidR="00D51B7C" w:rsidRPr="00E12C97" w:rsidRDefault="00D51B7C" w:rsidP="00D51B7C">
      <w:pPr>
        <w:pStyle w:val="Paragrafoelenco1"/>
        <w:numPr>
          <w:ilvl w:val="0"/>
          <w:numId w:val="3"/>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non hanno</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interessi in attività o decisioni inerenti la struttura organizzativa: _________________________;</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p>
    <w:p w:rsidR="00D51B7C" w:rsidRPr="00E12C97" w:rsidRDefault="00D51B7C" w:rsidP="00D51B7C">
      <w:pPr>
        <w:pStyle w:val="Paragrafoelenco1"/>
        <w:numPr>
          <w:ilvl w:val="0"/>
          <w:numId w:val="6"/>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di non avere parenti, affini entro il secondo grado, il coniuge o il convivente che esercitano attività politiche, professionali od economiche che li pongano in contatti frequenti con la struttura che sarà incaricato a dirigere, per quanto a conoscenza del/</w:t>
      </w:r>
      <w:proofErr w:type="gramStart"/>
      <w:r w:rsidRPr="00E12C97">
        <w:rPr>
          <w:rFonts w:cs="TrebuchetMS-OneByteIdentityH"/>
          <w:sz w:val="20"/>
          <w:szCs w:val="20"/>
        </w:rPr>
        <w:t>la sottoscritto</w:t>
      </w:r>
      <w:proofErr w:type="gramEnd"/>
      <w:r w:rsidRPr="00E12C97">
        <w:rPr>
          <w:rFonts w:cs="TrebuchetMS-OneByteIdentityH"/>
          <w:sz w:val="20"/>
          <w:szCs w:val="20"/>
        </w:rPr>
        <w:t>/a (art. 13 D.P.R. n. 62/2013);</w:t>
      </w:r>
    </w:p>
    <w:p w:rsidR="00D51B7C" w:rsidRPr="00E12C97" w:rsidRDefault="00D51B7C" w:rsidP="00D51B7C">
      <w:pPr>
        <w:pStyle w:val="Paragrafoelenco1"/>
        <w:numPr>
          <w:ilvl w:val="0"/>
          <w:numId w:val="6"/>
        </w:numPr>
        <w:autoSpaceDE w:val="0"/>
        <w:autoSpaceDN w:val="0"/>
        <w:adjustRightInd w:val="0"/>
        <w:spacing w:after="0" w:line="360" w:lineRule="auto"/>
        <w:jc w:val="both"/>
        <w:rPr>
          <w:rFonts w:cs="TrebuchetMS-OneByteIdentityH"/>
          <w:sz w:val="20"/>
          <w:szCs w:val="20"/>
        </w:rPr>
      </w:pPr>
      <w:r w:rsidRPr="00E12C97">
        <w:rPr>
          <w:rFonts w:cs="TrebuchetMS-OneByteIdentityH"/>
          <w:sz w:val="20"/>
          <w:szCs w:val="20"/>
        </w:rPr>
        <w:t xml:space="preserve">di non avere partecipazioni azionarie o altri interessi finanziari che possano pormi in conflitto di interesse con la funzione pubblica che sono chiamato/a </w:t>
      </w:r>
      <w:proofErr w:type="spellStart"/>
      <w:r w:rsidRPr="00E12C97">
        <w:rPr>
          <w:rFonts w:cs="TrebuchetMS-OneByteIdentityH"/>
          <w:sz w:val="20"/>
          <w:szCs w:val="20"/>
        </w:rPr>
        <w:t>a</w:t>
      </w:r>
      <w:proofErr w:type="spellEnd"/>
      <w:r w:rsidRPr="00E12C97">
        <w:rPr>
          <w:rFonts w:cs="TrebuchetMS-OneByteIdentityH"/>
          <w:sz w:val="20"/>
          <w:szCs w:val="20"/>
        </w:rPr>
        <w:t xml:space="preserve"> svolgere (art. 13 D.P.R. n. 62/2013). </w:t>
      </w:r>
    </w:p>
    <w:p w:rsidR="00D51B7C" w:rsidRPr="00E12C97" w:rsidRDefault="00D51B7C" w:rsidP="00D51B7C">
      <w:pPr>
        <w:autoSpaceDE w:val="0"/>
        <w:autoSpaceDN w:val="0"/>
        <w:adjustRightInd w:val="0"/>
        <w:spacing w:line="360" w:lineRule="auto"/>
        <w:jc w:val="both"/>
        <w:rPr>
          <w:rFonts w:ascii="Calibri" w:hAnsi="Calibri" w:cs="TrebuchetMS-OneByteIdentityH"/>
          <w:sz w:val="20"/>
          <w:szCs w:val="20"/>
        </w:rPr>
      </w:pPr>
      <w:r w:rsidRPr="00E12C97">
        <w:rPr>
          <w:rFonts w:ascii="Calibri" w:hAnsi="Calibri" w:cs="TrebuchetMS-OneByteIdentityH"/>
          <w:sz w:val="20"/>
          <w:szCs w:val="20"/>
        </w:rPr>
        <w:t xml:space="preserve">Il/La sottoscritto/a, dichiara inoltre di essere consapevole del fatto che la sottoscrizione della presente dichiarazione non sostituisce in alcun modo gli obblighi e gli adempimenti previsti dalle disposizioni in materia di incompatibilità ed autorizzazioni a svolgere attività extra istituzionali nel corso del rapporto di lavoro (art. 53 </w:t>
      </w:r>
      <w:proofErr w:type="spellStart"/>
      <w:proofErr w:type="gramStart"/>
      <w:r w:rsidRPr="00E12C97">
        <w:rPr>
          <w:rFonts w:ascii="Calibri" w:hAnsi="Calibri" w:cs="TrebuchetMS-OneByteIdentityH"/>
          <w:sz w:val="20"/>
          <w:szCs w:val="20"/>
        </w:rPr>
        <w:t>D.Lgs</w:t>
      </w:r>
      <w:proofErr w:type="gramEnd"/>
      <w:r w:rsidRPr="00E12C97">
        <w:rPr>
          <w:rFonts w:ascii="Calibri" w:hAnsi="Calibri" w:cs="TrebuchetMS-OneByteIdentityH"/>
          <w:sz w:val="20"/>
          <w:szCs w:val="20"/>
        </w:rPr>
        <w:t>.</w:t>
      </w:r>
      <w:proofErr w:type="spellEnd"/>
      <w:r w:rsidRPr="00E12C97">
        <w:rPr>
          <w:rFonts w:ascii="Calibri" w:hAnsi="Calibri" w:cs="TrebuchetMS-OneByteIdentityH"/>
          <w:sz w:val="20"/>
          <w:szCs w:val="20"/>
        </w:rPr>
        <w:t xml:space="preserve"> n. 165/2001)</w:t>
      </w:r>
    </w:p>
    <w:p w:rsidR="00D51B7C" w:rsidRPr="00E12C97" w:rsidRDefault="00D51B7C" w:rsidP="00D51B7C">
      <w:pPr>
        <w:autoSpaceDE w:val="0"/>
        <w:autoSpaceDN w:val="0"/>
        <w:adjustRightInd w:val="0"/>
        <w:spacing w:line="360" w:lineRule="auto"/>
        <w:ind w:left="5664"/>
        <w:jc w:val="both"/>
        <w:rPr>
          <w:rFonts w:ascii="Calibri" w:hAnsi="Calibri" w:cs="TrebuchetMS-OneByteIdentityH"/>
          <w:sz w:val="20"/>
          <w:szCs w:val="20"/>
        </w:rPr>
      </w:pPr>
      <w:r w:rsidRPr="00E12C97">
        <w:rPr>
          <w:rFonts w:ascii="Calibri" w:hAnsi="Calibri" w:cs="TrebuchetMS-OneByteIdentityH"/>
          <w:sz w:val="20"/>
          <w:szCs w:val="20"/>
        </w:rPr>
        <w:t xml:space="preserve">Data__________________ </w:t>
      </w:r>
    </w:p>
    <w:p w:rsidR="00D51B7C" w:rsidRPr="00E12C97" w:rsidRDefault="00D51B7C" w:rsidP="00D51B7C">
      <w:pPr>
        <w:autoSpaceDE w:val="0"/>
        <w:autoSpaceDN w:val="0"/>
        <w:adjustRightInd w:val="0"/>
        <w:spacing w:line="360" w:lineRule="auto"/>
        <w:ind w:left="5664"/>
        <w:jc w:val="both"/>
        <w:rPr>
          <w:rFonts w:ascii="Calibri" w:hAnsi="Calibri" w:cs="TrebuchetMS,Bold-OneByteIdentit"/>
          <w:b/>
          <w:bCs/>
        </w:rPr>
      </w:pPr>
      <w:r w:rsidRPr="00E12C97">
        <w:rPr>
          <w:rFonts w:ascii="Calibri" w:hAnsi="Calibri" w:cs="TrebuchetMS-OneByteIdentityH"/>
          <w:sz w:val="20"/>
          <w:szCs w:val="20"/>
        </w:rPr>
        <w:t>Il/</w:t>
      </w:r>
      <w:smartTag w:uri="urn:schemas-microsoft-com:office:smarttags" w:element="PersonName">
        <w:smartTagPr>
          <w:attr w:name="ProductID" w:val="La Dichiarante"/>
        </w:smartTagPr>
        <w:r w:rsidRPr="00E12C97">
          <w:rPr>
            <w:rFonts w:ascii="Calibri" w:hAnsi="Calibri" w:cs="TrebuchetMS-OneByteIdentityH"/>
            <w:sz w:val="20"/>
            <w:szCs w:val="20"/>
          </w:rPr>
          <w:t>La Dichiarante</w:t>
        </w:r>
      </w:smartTag>
      <w:r w:rsidRPr="00E12C97">
        <w:rPr>
          <w:rFonts w:ascii="Calibri" w:hAnsi="Calibri" w:cs="TrebuchetMS-OneByteIdentityH"/>
          <w:sz w:val="20"/>
          <w:szCs w:val="20"/>
        </w:rPr>
        <w:t>________________________</w:t>
      </w:r>
    </w:p>
    <w:p w:rsidR="00D51B7C" w:rsidRDefault="00D51B7C" w:rsidP="00D51B7C">
      <w:pPr>
        <w:autoSpaceDE w:val="0"/>
        <w:autoSpaceDN w:val="0"/>
        <w:adjustRightInd w:val="0"/>
        <w:spacing w:line="360" w:lineRule="auto"/>
        <w:jc w:val="both"/>
        <w:rPr>
          <w:rFonts w:ascii="Calibri" w:hAnsi="Calibri" w:cs="TrebuchetMS,Bold-OneByteIdentit"/>
          <w:b/>
          <w:bCs/>
        </w:rPr>
      </w:pPr>
    </w:p>
    <w:p w:rsidR="00D51B7C" w:rsidRDefault="00D51B7C" w:rsidP="00D51B7C">
      <w:pPr>
        <w:autoSpaceDE w:val="0"/>
        <w:autoSpaceDN w:val="0"/>
        <w:adjustRightInd w:val="0"/>
        <w:spacing w:line="360" w:lineRule="auto"/>
        <w:jc w:val="both"/>
        <w:rPr>
          <w:rFonts w:ascii="Calibri" w:hAnsi="Calibri" w:cs="TrebuchetMS,Bold-OneByteIdentit"/>
          <w:b/>
          <w:bCs/>
        </w:rPr>
      </w:pPr>
    </w:p>
    <w:p w:rsidR="00D51B7C" w:rsidRPr="00E12C97" w:rsidRDefault="00D51B7C" w:rsidP="00D51B7C">
      <w:pPr>
        <w:autoSpaceDE w:val="0"/>
        <w:autoSpaceDN w:val="0"/>
        <w:adjustRightInd w:val="0"/>
        <w:spacing w:line="360" w:lineRule="auto"/>
        <w:jc w:val="both"/>
        <w:rPr>
          <w:rFonts w:ascii="Calibri" w:hAnsi="Calibri" w:cs="TrebuchetMS,Bold-OneByteIdentit"/>
          <w:b/>
          <w:bCs/>
        </w:rPr>
      </w:pPr>
      <w:r w:rsidRPr="00E12C97">
        <w:rPr>
          <w:rFonts w:ascii="Calibri" w:hAnsi="Calibri" w:cs="TrebuchetMS,Bold-OneByteIdentit"/>
          <w:b/>
          <w:bCs/>
        </w:rPr>
        <w:t>NOTA 1</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314 </w:t>
      </w:r>
      <w:r w:rsidRPr="00E12C97">
        <w:rPr>
          <w:rFonts w:ascii="Calibri" w:hAnsi="Calibri" w:cs="TrebuchetMS-OneByteIdentityH"/>
          <w:sz w:val="18"/>
          <w:szCs w:val="18"/>
        </w:rPr>
        <w:t>Peculato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316 </w:t>
      </w:r>
      <w:r w:rsidRPr="00E12C97">
        <w:rPr>
          <w:rFonts w:ascii="Calibri" w:hAnsi="Calibri" w:cs="TrebuchetMS-OneByteIdentityH"/>
          <w:sz w:val="18"/>
          <w:szCs w:val="18"/>
        </w:rPr>
        <w:t>Peculato mediante profitto dell’errore altrui</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316 bis </w:t>
      </w:r>
      <w:r w:rsidRPr="00E12C97">
        <w:rPr>
          <w:rFonts w:ascii="Calibri" w:hAnsi="Calibri" w:cs="TrebuchetMS-OneByteIdentityH"/>
          <w:sz w:val="18"/>
          <w:szCs w:val="18"/>
        </w:rPr>
        <w:t>Malversazione a danno dello stato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316 ter </w:t>
      </w:r>
      <w:r w:rsidRPr="00E12C97">
        <w:rPr>
          <w:rFonts w:ascii="Calibri" w:hAnsi="Calibri" w:cs="TrebuchetMS-OneByteIdentityH"/>
          <w:sz w:val="18"/>
          <w:szCs w:val="18"/>
        </w:rPr>
        <w:t>Indebita percezione di erogazioni a danno dello stato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317 </w:t>
      </w:r>
      <w:r w:rsidRPr="00E12C97">
        <w:rPr>
          <w:rFonts w:ascii="Calibri" w:hAnsi="Calibri" w:cs="TrebuchetMS-OneByteIdentityH"/>
          <w:sz w:val="18"/>
          <w:szCs w:val="18"/>
        </w:rPr>
        <w:t>Concussione</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318 </w:t>
      </w:r>
      <w:r w:rsidRPr="00E12C97">
        <w:rPr>
          <w:rFonts w:ascii="Calibri" w:hAnsi="Calibri" w:cs="TrebuchetMS-OneByteIdentityH"/>
          <w:sz w:val="18"/>
          <w:szCs w:val="18"/>
        </w:rPr>
        <w:t>Corruzione per un atto d’ufficio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319 </w:t>
      </w:r>
      <w:r w:rsidRPr="00E12C97">
        <w:rPr>
          <w:rFonts w:ascii="Calibri" w:hAnsi="Calibri" w:cs="TrebuchetMS-OneByteIdentityH"/>
          <w:sz w:val="18"/>
          <w:szCs w:val="18"/>
        </w:rPr>
        <w:t>Corruzione per un atto contrario ai doveri d’ufficio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319 ter </w:t>
      </w:r>
      <w:r w:rsidRPr="00E12C97">
        <w:rPr>
          <w:rFonts w:ascii="Calibri" w:hAnsi="Calibri" w:cs="TrebuchetMS-OneByteIdentityH"/>
          <w:sz w:val="18"/>
          <w:szCs w:val="18"/>
        </w:rPr>
        <w:t>Corruzione in atti giudiziari</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320 </w:t>
      </w:r>
      <w:r w:rsidRPr="00E12C97">
        <w:rPr>
          <w:rFonts w:ascii="Calibri" w:hAnsi="Calibri" w:cs="TrebuchetMS-OneByteIdentityH"/>
          <w:sz w:val="18"/>
          <w:szCs w:val="18"/>
        </w:rPr>
        <w:t>Corruzione di persona incaricata di pubblico servizio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322 </w:t>
      </w:r>
      <w:r w:rsidRPr="00E12C97">
        <w:rPr>
          <w:rFonts w:ascii="Calibri" w:hAnsi="Calibri" w:cs="TrebuchetMS-OneByteIdentityH"/>
          <w:sz w:val="18"/>
          <w:szCs w:val="18"/>
        </w:rPr>
        <w:t>Istigazione alla corruzione</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322 bis </w:t>
      </w:r>
      <w:r w:rsidRPr="00E12C97">
        <w:rPr>
          <w:rFonts w:ascii="Calibri" w:hAnsi="Calibri" w:cs="TrebuchetMS-OneByteIdentityH"/>
          <w:sz w:val="18"/>
          <w:szCs w:val="18"/>
        </w:rPr>
        <w:t>Peculato, concussione, corruzione e istigazione alla corruzione di membri degli organi della Comunità Europea e</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OneByteIdentityH"/>
          <w:sz w:val="18"/>
          <w:szCs w:val="18"/>
        </w:rPr>
        <w:t>di Stati Esteri</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323 </w:t>
      </w:r>
      <w:r w:rsidRPr="00E12C97">
        <w:rPr>
          <w:rFonts w:ascii="Calibri" w:hAnsi="Calibri" w:cs="TrebuchetMS-OneByteIdentityH"/>
          <w:sz w:val="18"/>
          <w:szCs w:val="18"/>
        </w:rPr>
        <w:t>Abuso d’ufficio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325 </w:t>
      </w:r>
      <w:r w:rsidRPr="00E12C97">
        <w:rPr>
          <w:rFonts w:ascii="Calibri" w:hAnsi="Calibri" w:cs="TrebuchetMS-OneByteIdentityH"/>
          <w:sz w:val="18"/>
          <w:szCs w:val="18"/>
        </w:rPr>
        <w:t>Utilizzazioni di invenzioni o scoperte conosciute per ragioni di ufficio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326 </w:t>
      </w:r>
      <w:r w:rsidRPr="00E12C97">
        <w:rPr>
          <w:rFonts w:ascii="Calibri" w:hAnsi="Calibri" w:cs="TrebuchetMS-OneByteIdentityH"/>
          <w:sz w:val="18"/>
          <w:szCs w:val="18"/>
        </w:rPr>
        <w:t>Rivelazione ed utilizzazione di segreti d’ufficio</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328 </w:t>
      </w:r>
      <w:r w:rsidRPr="00E12C97">
        <w:rPr>
          <w:rFonts w:ascii="Calibri" w:hAnsi="Calibri" w:cs="TrebuchetMS-OneByteIdentityH"/>
          <w:sz w:val="18"/>
          <w:szCs w:val="18"/>
        </w:rPr>
        <w:t>Rifiuto di atti d’ufficio - Omissione</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329 </w:t>
      </w:r>
      <w:r w:rsidRPr="00E12C97">
        <w:rPr>
          <w:rFonts w:ascii="Calibri" w:hAnsi="Calibri" w:cs="TrebuchetMS-OneByteIdentityH"/>
          <w:sz w:val="18"/>
          <w:szCs w:val="18"/>
        </w:rPr>
        <w:t>Rifiuti o ritardo di obbedienza commesso da un militare o da un agente di pubblica sicurezza</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331 </w:t>
      </w:r>
      <w:r w:rsidRPr="00E12C97">
        <w:rPr>
          <w:rFonts w:ascii="Calibri" w:hAnsi="Calibri" w:cs="TrebuchetMS-OneByteIdentityH"/>
          <w:sz w:val="18"/>
          <w:szCs w:val="18"/>
        </w:rPr>
        <w:t>Interruzione di un servizio pubblico o di pubblica necessità</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334 </w:t>
      </w:r>
      <w:r w:rsidRPr="00E12C97">
        <w:rPr>
          <w:rFonts w:ascii="Calibri" w:hAnsi="Calibri" w:cs="TrebuchetMS-OneByteIdentityH"/>
          <w:sz w:val="18"/>
          <w:szCs w:val="18"/>
        </w:rPr>
        <w:t>Sottrazione o danneggiamento di cose sottoposte a sequestro disposto nel corso di un procedimento penale o dall’autorità amministrativa</w:t>
      </w:r>
    </w:p>
    <w:p w:rsidR="00D51B7C" w:rsidRPr="00E12C97" w:rsidRDefault="00D51B7C" w:rsidP="00D51B7C">
      <w:pPr>
        <w:autoSpaceDE w:val="0"/>
        <w:autoSpaceDN w:val="0"/>
        <w:adjustRightInd w:val="0"/>
        <w:spacing w:line="360" w:lineRule="auto"/>
        <w:jc w:val="both"/>
        <w:rPr>
          <w:rFonts w:ascii="Calibri" w:hAnsi="Calibri" w:cs="TrebuchetMS-OneByteIdentityH"/>
          <w:sz w:val="18"/>
          <w:szCs w:val="18"/>
        </w:rPr>
      </w:pPr>
      <w:r w:rsidRPr="00E12C97">
        <w:rPr>
          <w:rFonts w:ascii="Calibri" w:hAnsi="Calibri" w:cs="TrebuchetMS,Bold-OneByteIdentit"/>
          <w:b/>
          <w:bCs/>
          <w:sz w:val="18"/>
          <w:szCs w:val="18"/>
        </w:rPr>
        <w:t xml:space="preserve">Art. 335 </w:t>
      </w:r>
      <w:r w:rsidRPr="00E12C97">
        <w:rPr>
          <w:rFonts w:ascii="Calibri" w:hAnsi="Calibri" w:cs="TrebuchetMS-OneByteIdentityH"/>
          <w:sz w:val="18"/>
          <w:szCs w:val="18"/>
        </w:rPr>
        <w:t>Violazione colposa di doveri inerenti alla custodia di cose sottoposte a sequestro disposto nel corso di un procedimento penale o dall’autorità amministrativa</w:t>
      </w:r>
    </w:p>
    <w:p w:rsidR="00D51B7C" w:rsidRPr="00E12C97" w:rsidRDefault="00D51B7C" w:rsidP="00D51B7C">
      <w:pPr>
        <w:autoSpaceDE w:val="0"/>
        <w:autoSpaceDN w:val="0"/>
        <w:adjustRightInd w:val="0"/>
        <w:spacing w:line="360" w:lineRule="auto"/>
        <w:jc w:val="both"/>
        <w:rPr>
          <w:rFonts w:ascii="Calibri" w:hAnsi="Calibri" w:cs="TrebuchetMS,Bold-OneByteIdentit"/>
          <w:b/>
          <w:bCs/>
        </w:rPr>
      </w:pPr>
    </w:p>
    <w:p w:rsidR="00D51B7C" w:rsidRPr="00E12C97" w:rsidRDefault="00D51B7C" w:rsidP="00D51B7C">
      <w:pPr>
        <w:autoSpaceDE w:val="0"/>
        <w:autoSpaceDN w:val="0"/>
        <w:adjustRightInd w:val="0"/>
        <w:spacing w:line="360" w:lineRule="auto"/>
        <w:jc w:val="both"/>
        <w:rPr>
          <w:rFonts w:ascii="Calibri" w:hAnsi="Calibri" w:cs="TrebuchetMS,Bold-OneByteIdentit"/>
          <w:b/>
          <w:bCs/>
        </w:rPr>
      </w:pPr>
      <w:r w:rsidRPr="00E12C97">
        <w:rPr>
          <w:rFonts w:ascii="Calibri" w:hAnsi="Calibri" w:cs="TrebuchetMS,Bold-OneByteIdentit"/>
          <w:b/>
          <w:bCs/>
        </w:rPr>
        <w:t>NOTA 2</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proofErr w:type="spellStart"/>
      <w:r w:rsidRPr="00E12C97">
        <w:rPr>
          <w:rFonts w:ascii="Calibri" w:hAnsi="Calibri" w:cs="TrebuchetMS,Bold-OneByteIdentit"/>
          <w:b/>
          <w:bCs/>
          <w:sz w:val="18"/>
          <w:szCs w:val="18"/>
        </w:rPr>
        <w:t>D.Lgs.</w:t>
      </w:r>
      <w:proofErr w:type="spellEnd"/>
      <w:r w:rsidRPr="00E12C97">
        <w:rPr>
          <w:rFonts w:ascii="Calibri" w:hAnsi="Calibri" w:cs="TrebuchetMS,Bold-OneByteIdentit"/>
          <w:b/>
          <w:bCs/>
          <w:sz w:val="18"/>
          <w:szCs w:val="18"/>
        </w:rPr>
        <w:t xml:space="preserve"> n. 39/2013</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TrebuchetMS,Bold-OneByteIdentit"/>
          <w:b/>
          <w:bCs/>
          <w:sz w:val="18"/>
          <w:szCs w:val="18"/>
        </w:rPr>
        <w:t xml:space="preserve">A. Cause di </w:t>
      </w:r>
      <w:proofErr w:type="spellStart"/>
      <w:r w:rsidRPr="00E12C97">
        <w:rPr>
          <w:rFonts w:ascii="Calibri" w:hAnsi="Calibri" w:cs="TrebuchetMS,Bold-OneByteIdentit"/>
          <w:b/>
          <w:bCs/>
          <w:sz w:val="18"/>
          <w:szCs w:val="18"/>
        </w:rPr>
        <w:t>inconferibilità</w:t>
      </w:r>
      <w:proofErr w:type="spellEnd"/>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Wingdings3-OneByteIdentityH"/>
          <w:sz w:val="18"/>
          <w:szCs w:val="18"/>
        </w:rPr>
        <w:t xml:space="preserve">_ </w:t>
      </w:r>
      <w:r w:rsidRPr="00E12C97">
        <w:rPr>
          <w:rFonts w:ascii="Calibri" w:hAnsi="Calibri" w:cs="TrebuchetMS,Bold-OneByteIdentit"/>
          <w:b/>
          <w:bCs/>
          <w:sz w:val="18"/>
          <w:szCs w:val="18"/>
        </w:rPr>
        <w:t>Art. 3, comma 1 lettera c)</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smartTag w:uri="urn:schemas-microsoft-com:office:smarttags" w:element="metricconverter">
        <w:smartTagPr>
          <w:attr w:name="ProductID" w:val="1. A"/>
        </w:smartTagPr>
        <w:r w:rsidRPr="00E12C97">
          <w:rPr>
            <w:rFonts w:ascii="Calibri" w:hAnsi="Calibri" w:cs="TrebuchetMS,Italic-OneByteIdent"/>
            <w:i/>
            <w:iCs/>
            <w:sz w:val="18"/>
            <w:szCs w:val="18"/>
          </w:rPr>
          <w:t>1. A</w:t>
        </w:r>
      </w:smartTag>
      <w:r w:rsidRPr="00E12C97">
        <w:rPr>
          <w:rFonts w:ascii="Calibri" w:hAnsi="Calibri" w:cs="TrebuchetMS,Italic-OneByteIdent"/>
          <w:i/>
          <w:iCs/>
          <w:sz w:val="18"/>
          <w:szCs w:val="18"/>
        </w:rPr>
        <w:t xml:space="preserve"> coloro che siano stati condannati, anche con sentenza non passata in giudicato, per uno dei reati previsti dal capo I del titolo II del libro secondo del codice penale, non possono essere attribuiti…</w:t>
      </w:r>
      <w:proofErr w:type="gramStart"/>
      <w:r w:rsidRPr="00E12C97">
        <w:rPr>
          <w:rFonts w:ascii="Calibri" w:hAnsi="Calibri" w:cs="TrebuchetMS,Italic-OneByteIdent"/>
          <w:i/>
          <w:iCs/>
          <w:sz w:val="18"/>
          <w:szCs w:val="18"/>
        </w:rPr>
        <w:t>omissis….</w:t>
      </w:r>
      <w:proofErr w:type="gramEnd"/>
      <w:r w:rsidRPr="00E12C97">
        <w:rPr>
          <w:rFonts w:ascii="Calibri" w:hAnsi="Calibri" w:cs="TrebuchetMS,Italic-OneByteIdent"/>
          <w:i/>
          <w:iCs/>
          <w:sz w:val="18"/>
          <w:szCs w:val="18"/>
        </w:rPr>
        <w:t>c) gli incarichi dirigenziali, interni e esterni, comunque denominati, nelle pubbliche amministrazioni, negli enti pubblici e negli enti di diritto privato in controllo pubblico di livello nazionale, regionale e locale;</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TrebuchetMS,Bold-OneByteIdentit"/>
          <w:b/>
          <w:bCs/>
          <w:sz w:val="18"/>
          <w:szCs w:val="18"/>
        </w:rPr>
        <w:t>B. Cause di incompatibilità</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Wingdings3-OneByteIdentityH"/>
          <w:sz w:val="18"/>
          <w:szCs w:val="18"/>
        </w:rPr>
        <w:t xml:space="preserve">_ </w:t>
      </w:r>
      <w:r w:rsidRPr="00E12C97">
        <w:rPr>
          <w:rFonts w:ascii="Calibri" w:hAnsi="Calibri" w:cs="TrebuchetMS,Bold-OneByteIdentit"/>
          <w:b/>
          <w:bCs/>
          <w:sz w:val="18"/>
          <w:szCs w:val="18"/>
        </w:rPr>
        <w:t>Art. 9, comma 1</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Wingdings3-OneByteIdentityH"/>
          <w:sz w:val="18"/>
          <w:szCs w:val="18"/>
        </w:rPr>
        <w:t xml:space="preserve">_ </w:t>
      </w:r>
      <w:r w:rsidRPr="00E12C97">
        <w:rPr>
          <w:rFonts w:ascii="Calibri" w:hAnsi="Calibri" w:cs="TrebuchetMS,Bold-OneByteIdentit"/>
          <w:b/>
          <w:bCs/>
          <w:sz w:val="18"/>
          <w:szCs w:val="18"/>
        </w:rPr>
        <w:t>Art. 9, comma 2</w:t>
      </w:r>
    </w:p>
    <w:p w:rsidR="00D51B7C"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 xml:space="preserve">2. Gli incarichi amministrativi di vertice e gli incarichi dirigenziali, comunque denominati, nelle pubbliche amministrazioni, gli incarichi di amministratore negli enti pubblici e di presidente e amministratore delegato negli enti di diritto privato in controllo pubblico sono </w:t>
      </w:r>
    </w:p>
    <w:p w:rsidR="00D51B7C" w:rsidRDefault="00D51B7C" w:rsidP="00D51B7C">
      <w:pPr>
        <w:autoSpaceDE w:val="0"/>
        <w:autoSpaceDN w:val="0"/>
        <w:adjustRightInd w:val="0"/>
        <w:spacing w:line="360" w:lineRule="auto"/>
        <w:jc w:val="both"/>
        <w:rPr>
          <w:rFonts w:ascii="Calibri" w:hAnsi="Calibri" w:cs="TrebuchetMS,Italic-OneByteIdent"/>
          <w:i/>
          <w:iCs/>
          <w:sz w:val="18"/>
          <w:szCs w:val="18"/>
        </w:rPr>
      </w:pP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 xml:space="preserve">incompatibili con lo svolgimento in proprio, da parte del soggetto incaricato, di una attività professionale, se questa è regolata, finanziata o comunque retribuita dall’amministrazione o ente che conferisce l’incarico. </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Wingdings3-OneByteIdentityH"/>
          <w:sz w:val="18"/>
          <w:szCs w:val="18"/>
        </w:rPr>
        <w:t xml:space="preserve">_ </w:t>
      </w:r>
      <w:r w:rsidRPr="00E12C97">
        <w:rPr>
          <w:rFonts w:ascii="Calibri" w:hAnsi="Calibri" w:cs="TrebuchetMS,Bold-OneByteIdentit"/>
          <w:b/>
          <w:bCs/>
          <w:sz w:val="18"/>
          <w:szCs w:val="18"/>
        </w:rPr>
        <w:t>Art. 12, comma 1</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1. Gli incarichi dirigenziali, interni e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Wingdings3-OneByteIdentityH"/>
          <w:sz w:val="18"/>
          <w:szCs w:val="18"/>
        </w:rPr>
        <w:t xml:space="preserve">_ </w:t>
      </w:r>
      <w:r w:rsidRPr="00E12C97">
        <w:rPr>
          <w:rFonts w:ascii="Calibri" w:hAnsi="Calibri" w:cs="TrebuchetMS,Bold-OneByteIdentit"/>
          <w:b/>
          <w:bCs/>
          <w:sz w:val="18"/>
          <w:szCs w:val="18"/>
        </w:rPr>
        <w:t>Art. 12, comma 2</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2. Gli incarichi dirigenziali, interni e esterni, nelle pubbliche amministrazioni, negli enti pubblici e negli enti di diritto privato in controllo pubblico di livello nazionale, regionale e locale sono incompatibili con l'assunzione, nel corso dell'incarico, della carica di Presidente del Consiglio dei Ministri, Ministro, Vice Ministro, Sottosegretario di Stato e Commissario Straordinario del Governo di cui all'articolo 11 della legge 23 agosto 1988, n. 400, o di parlamentare.</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Wingdings3-OneByteIdentityH"/>
          <w:sz w:val="18"/>
          <w:szCs w:val="18"/>
        </w:rPr>
        <w:t xml:space="preserve">_ </w:t>
      </w:r>
      <w:r w:rsidRPr="00E12C97">
        <w:rPr>
          <w:rFonts w:ascii="Calibri" w:hAnsi="Calibri" w:cs="TrebuchetMS,Bold-OneByteIdentit"/>
          <w:b/>
          <w:bCs/>
          <w:sz w:val="18"/>
          <w:szCs w:val="18"/>
        </w:rPr>
        <w:t>Art. 12, comma 3</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3. Gli incarichi dirigenziali, interni e esterni, nelle pubbliche amministrazioni, negli enti pubblici e negli enti di diritto privato in controllo pubblico di livello regionale sono incompatibili:</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a) con la carica di componente della giunta o del consiglio della regione interessata;</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b) con la carica di componente della giunta o del consiglio di una provincia, di un comune con popolazione superiore ai 15.000 abitanti o di una forma associativa tra comuni avente la medesima popolazione della medesima regione;</w:t>
      </w:r>
    </w:p>
    <w:p w:rsidR="00D51B7C" w:rsidRPr="00E12C97" w:rsidRDefault="00D51B7C" w:rsidP="00D51B7C">
      <w:pPr>
        <w:autoSpaceDE w:val="0"/>
        <w:autoSpaceDN w:val="0"/>
        <w:adjustRightInd w:val="0"/>
        <w:spacing w:line="360" w:lineRule="auto"/>
        <w:jc w:val="both"/>
        <w:rPr>
          <w:rFonts w:ascii="Calibri" w:hAnsi="Calibri" w:cs="TrebuchetMS,Bold-OneByteIdentit"/>
          <w:bCs/>
          <w:sz w:val="18"/>
          <w:szCs w:val="18"/>
        </w:rPr>
      </w:pPr>
      <w:r w:rsidRPr="00E12C97">
        <w:rPr>
          <w:rFonts w:ascii="Calibri" w:hAnsi="Calibri" w:cs="TrebuchetMS,Italic-OneByteIdent"/>
          <w:i/>
          <w:iCs/>
          <w:sz w:val="18"/>
          <w:szCs w:val="18"/>
        </w:rPr>
        <w:t xml:space="preserve">c) con la carica di presidente e amministratore delegato di enti di diritto privato in controllo pubblico da parte della </w:t>
      </w:r>
      <w:r w:rsidRPr="00E12C97">
        <w:rPr>
          <w:rFonts w:ascii="Calibri" w:hAnsi="Calibri" w:cs="TrebuchetMS,Bold-OneByteIdentit"/>
          <w:bCs/>
          <w:sz w:val="18"/>
          <w:szCs w:val="18"/>
        </w:rPr>
        <w:t>regione.</w:t>
      </w:r>
    </w:p>
    <w:p w:rsidR="00D51B7C" w:rsidRPr="00E12C97" w:rsidRDefault="00D51B7C" w:rsidP="00D51B7C">
      <w:pPr>
        <w:autoSpaceDE w:val="0"/>
        <w:autoSpaceDN w:val="0"/>
        <w:adjustRightInd w:val="0"/>
        <w:spacing w:line="360" w:lineRule="auto"/>
        <w:jc w:val="both"/>
        <w:rPr>
          <w:rFonts w:ascii="Calibri" w:hAnsi="Calibri" w:cs="TrebuchetMS,Bold-OneByteIdentit"/>
          <w:b/>
          <w:bCs/>
          <w:sz w:val="18"/>
          <w:szCs w:val="18"/>
        </w:rPr>
      </w:pPr>
      <w:r w:rsidRPr="00E12C97">
        <w:rPr>
          <w:rFonts w:ascii="Calibri" w:hAnsi="Calibri" w:cs="TrebuchetMS,Bold-OneByteIdentit"/>
          <w:b/>
          <w:bCs/>
          <w:sz w:val="18"/>
          <w:szCs w:val="18"/>
        </w:rPr>
        <w:t>_ Art. 12, comma 4</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20"/>
          <w:szCs w:val="20"/>
        </w:rPr>
        <w:t>4</w:t>
      </w:r>
      <w:r w:rsidRPr="00E12C97">
        <w:rPr>
          <w:rFonts w:ascii="Calibri" w:hAnsi="Calibri" w:cs="TrebuchetMS,Italic-OneByteIdent"/>
          <w:i/>
          <w:iCs/>
          <w:sz w:val="18"/>
          <w:szCs w:val="18"/>
        </w:rPr>
        <w:t>. Gli incarichi dirigenziali, interni e esterni, nelle pubbliche amministrazioni, negli enti pubblici e negli enti di diritto privato in controllo pubblico di livello provinciale o comunale sono incompatibili:</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a) con la carica di componente della giunta o del consiglio della regione;</w:t>
      </w:r>
    </w:p>
    <w:p w:rsidR="00D51B7C" w:rsidRPr="00E12C97" w:rsidRDefault="00D51B7C" w:rsidP="00D51B7C">
      <w:pPr>
        <w:autoSpaceDE w:val="0"/>
        <w:autoSpaceDN w:val="0"/>
        <w:adjustRightInd w:val="0"/>
        <w:spacing w:line="360" w:lineRule="auto"/>
        <w:jc w:val="both"/>
        <w:rPr>
          <w:rFonts w:ascii="Calibri" w:hAnsi="Calibri" w:cs="TrebuchetMS,Italic-OneByteIdent"/>
          <w:i/>
          <w:iCs/>
          <w:sz w:val="18"/>
          <w:szCs w:val="18"/>
        </w:rPr>
      </w:pPr>
      <w:r w:rsidRPr="00E12C97">
        <w:rPr>
          <w:rFonts w:ascii="Calibri" w:hAnsi="Calibri" w:cs="TrebuchetMS,Italic-OneByteIdent"/>
          <w:i/>
          <w:iCs/>
          <w:sz w:val="18"/>
          <w:szCs w:val="18"/>
        </w:rPr>
        <w:t>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w:t>
      </w:r>
    </w:p>
    <w:p w:rsidR="00D51B7C" w:rsidRPr="00E12C97" w:rsidRDefault="00D51B7C" w:rsidP="00D51B7C">
      <w:pPr>
        <w:autoSpaceDE w:val="0"/>
        <w:autoSpaceDN w:val="0"/>
        <w:adjustRightInd w:val="0"/>
        <w:spacing w:line="360" w:lineRule="auto"/>
        <w:jc w:val="both"/>
        <w:rPr>
          <w:rFonts w:ascii="Calibri" w:hAnsi="Calibri"/>
        </w:rPr>
      </w:pPr>
      <w:r w:rsidRPr="00E12C97">
        <w:rPr>
          <w:rFonts w:ascii="Calibri" w:hAnsi="Calibri" w:cs="TrebuchetMS,Italic-OneByteIdent"/>
          <w:i/>
          <w:iCs/>
          <w:sz w:val="18"/>
          <w:szCs w:val="18"/>
        </w:rPr>
        <w:t>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p>
    <w:p w:rsidR="00947AFE" w:rsidRDefault="00947AFE">
      <w:bookmarkStart w:id="0" w:name="_GoBack"/>
      <w:bookmarkEnd w:id="0"/>
    </w:p>
    <w:sectPr w:rsidR="00947AF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54" w:rsidRDefault="00892454" w:rsidP="00D51B7C">
      <w:r>
        <w:separator/>
      </w:r>
    </w:p>
  </w:endnote>
  <w:endnote w:type="continuationSeparator" w:id="0">
    <w:p w:rsidR="00892454" w:rsidRDefault="00892454" w:rsidP="00D5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MS,Bold-OneByteIdentit">
    <w:panose1 w:val="00000000000000000000"/>
    <w:charset w:val="00"/>
    <w:family w:val="auto"/>
    <w:notTrueType/>
    <w:pitch w:val="default"/>
    <w:sig w:usb0="00000003" w:usb1="00000000" w:usb2="00000000" w:usb3="00000000" w:csb0="00000001" w:csb1="00000000"/>
  </w:font>
  <w:font w:name="TrebuchetMS-OneByteIdentityH">
    <w:panose1 w:val="00000000000000000000"/>
    <w:charset w:val="00"/>
    <w:family w:val="auto"/>
    <w:notTrueType/>
    <w:pitch w:val="default"/>
    <w:sig w:usb0="00000003" w:usb1="00000000" w:usb2="00000000" w:usb3="00000000" w:csb0="00000001" w:csb1="00000000"/>
  </w:font>
  <w:font w:name="TrebuchetMS,BoldItalic-OneByteI">
    <w:panose1 w:val="00000000000000000000"/>
    <w:charset w:val="00"/>
    <w:family w:val="auto"/>
    <w:notTrueType/>
    <w:pitch w:val="default"/>
    <w:sig w:usb0="00000003" w:usb1="00000000" w:usb2="00000000" w:usb3="00000000" w:csb0="00000001" w:csb1="00000000"/>
  </w:font>
  <w:font w:name="Wingdings3-OneByteIdentityH">
    <w:panose1 w:val="00000000000000000000"/>
    <w:charset w:val="00"/>
    <w:family w:val="auto"/>
    <w:notTrueType/>
    <w:pitch w:val="default"/>
    <w:sig w:usb0="00000003" w:usb1="00000000" w:usb2="00000000" w:usb3="00000000" w:csb0="00000001" w:csb1="00000000"/>
  </w:font>
  <w:font w:name="TrebuchetMS,Italic-OneByteIden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54" w:rsidRDefault="00892454" w:rsidP="00D51B7C">
      <w:r>
        <w:separator/>
      </w:r>
    </w:p>
  </w:footnote>
  <w:footnote w:type="continuationSeparator" w:id="0">
    <w:p w:rsidR="00892454" w:rsidRDefault="00892454" w:rsidP="00D51B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7C" w:rsidRDefault="00D51B7C">
    <w:pPr>
      <w:pStyle w:val="Intestazione"/>
    </w:pPr>
    <w:r>
      <w:rPr>
        <w:noProof/>
      </w:rPr>
      <w:drawing>
        <wp:anchor distT="0" distB="0" distL="114300" distR="114300" simplePos="0" relativeHeight="251659264" behindDoc="0" locked="0" layoutInCell="1" allowOverlap="1" wp14:anchorId="6CB7C67F" wp14:editId="6146D525">
          <wp:simplePos x="0" y="0"/>
          <wp:positionH relativeFrom="margin">
            <wp:posOffset>-501161</wp:posOffset>
          </wp:positionH>
          <wp:positionV relativeFrom="paragraph">
            <wp:posOffset>-273148</wp:posOffset>
          </wp:positionV>
          <wp:extent cx="3419475" cy="619125"/>
          <wp:effectExtent l="0" t="0" r="9525" b="9525"/>
          <wp:wrapSquare wrapText="bothSides"/>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19475"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79"/>
    <w:rsid w:val="00892454"/>
    <w:rsid w:val="00947AFE"/>
    <w:rsid w:val="00C23E79"/>
    <w:rsid w:val="00D51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6D8D8E4-96E6-4F40-835F-5795D007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1B7C"/>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1B7C"/>
    <w:pPr>
      <w:tabs>
        <w:tab w:val="center" w:pos="4819"/>
        <w:tab w:val="right" w:pos="9638"/>
      </w:tabs>
    </w:pPr>
  </w:style>
  <w:style w:type="character" w:customStyle="1" w:styleId="IntestazioneCarattere">
    <w:name w:val="Intestazione Carattere"/>
    <w:basedOn w:val="Carpredefinitoparagrafo"/>
    <w:link w:val="Intestazione"/>
    <w:uiPriority w:val="99"/>
    <w:rsid w:val="00D51B7C"/>
  </w:style>
  <w:style w:type="paragraph" w:styleId="Pidipagina">
    <w:name w:val="footer"/>
    <w:basedOn w:val="Normale"/>
    <w:link w:val="PidipaginaCarattere"/>
    <w:uiPriority w:val="99"/>
    <w:unhideWhenUsed/>
    <w:rsid w:val="00D51B7C"/>
    <w:pPr>
      <w:tabs>
        <w:tab w:val="center" w:pos="4819"/>
        <w:tab w:val="right" w:pos="9638"/>
      </w:tabs>
    </w:pPr>
  </w:style>
  <w:style w:type="character" w:customStyle="1" w:styleId="PidipaginaCarattere">
    <w:name w:val="Piè di pagina Carattere"/>
    <w:basedOn w:val="Carpredefinitoparagrafo"/>
    <w:link w:val="Pidipagina"/>
    <w:uiPriority w:val="99"/>
    <w:rsid w:val="00D51B7C"/>
  </w:style>
  <w:style w:type="paragraph" w:customStyle="1" w:styleId="Paragrafoelenco1">
    <w:name w:val="Paragrafo elenco1"/>
    <w:basedOn w:val="Normale"/>
    <w:rsid w:val="00D51B7C"/>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FRAIA</dc:creator>
  <cp:keywords/>
  <dc:description/>
  <cp:lastModifiedBy>SILVIA DE FRAIA</cp:lastModifiedBy>
  <cp:revision>2</cp:revision>
  <dcterms:created xsi:type="dcterms:W3CDTF">2025-08-14T14:45:00Z</dcterms:created>
  <dcterms:modified xsi:type="dcterms:W3CDTF">2025-08-14T14:46:00Z</dcterms:modified>
</cp:coreProperties>
</file>